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CFBD" w14:textId="33961978" w:rsidR="00AB6DB0" w:rsidRPr="00AB6DB0" w:rsidRDefault="00AB6DB0" w:rsidP="00AB6DB0">
      <w:pPr>
        <w:spacing w:after="0" w:line="276" w:lineRule="auto"/>
        <w:contextualSpacing/>
        <w:jc w:val="center"/>
        <w:rPr>
          <w:rFonts w:ascii="Arial" w:hAnsi="Arial" w:cs="Arial"/>
          <w:u w:val="single"/>
        </w:rPr>
      </w:pPr>
      <w:r w:rsidRPr="00AB6DB0">
        <w:rPr>
          <w:rFonts w:ascii="Arial" w:hAnsi="Arial" w:cs="Arial"/>
          <w:b/>
          <w:bCs/>
          <w:u w:val="single"/>
        </w:rPr>
        <w:t>INITIAL DEMOLITION NOTICE</w:t>
      </w:r>
    </w:p>
    <w:p w14:paraId="5B2B63C9" w14:textId="77777777" w:rsidR="00AB6DB0" w:rsidRDefault="00AB6DB0" w:rsidP="00AB6DB0">
      <w:pPr>
        <w:spacing w:after="0" w:line="276" w:lineRule="auto"/>
        <w:contextualSpacing/>
        <w:rPr>
          <w:rFonts w:ascii="Arial" w:hAnsi="Arial" w:cs="Arial"/>
          <w:b/>
          <w:bCs/>
        </w:rPr>
      </w:pPr>
    </w:p>
    <w:p w14:paraId="2FFE5C2B" w14:textId="2AA003B7" w:rsidR="00AB6DB0" w:rsidRPr="00AB6DB0" w:rsidRDefault="00AB6DB0" w:rsidP="00AB6DB0">
      <w:pPr>
        <w:spacing w:after="0" w:line="276" w:lineRule="auto"/>
        <w:contextualSpacing/>
        <w:jc w:val="center"/>
        <w:rPr>
          <w:rFonts w:ascii="Arial" w:hAnsi="Arial" w:cs="Arial"/>
        </w:rPr>
      </w:pPr>
      <w:r w:rsidRPr="00AB6DB0">
        <w:rPr>
          <w:rFonts w:ascii="Arial" w:hAnsi="Arial" w:cs="Arial"/>
          <w:b/>
          <w:bCs/>
        </w:rPr>
        <w:t>Section 138A and Schedule 5A of the Housing Act 1985</w:t>
      </w:r>
    </w:p>
    <w:p w14:paraId="4C2298F7" w14:textId="75D6E7B9" w:rsidR="00AB6DB0" w:rsidRPr="00AB6DB0" w:rsidRDefault="00AB6DB0" w:rsidP="00AB6DB0">
      <w:pPr>
        <w:spacing w:after="0" w:line="276" w:lineRule="auto"/>
        <w:contextualSpacing/>
        <w:jc w:val="center"/>
        <w:rPr>
          <w:rFonts w:ascii="Arial" w:hAnsi="Arial" w:cs="Arial"/>
        </w:rPr>
      </w:pPr>
      <w:r w:rsidRPr="00AB6DB0">
        <w:rPr>
          <w:rFonts w:ascii="Arial" w:hAnsi="Arial" w:cs="Arial"/>
          <w:b/>
          <w:bCs/>
        </w:rPr>
        <w:t>as amended (“the Act”)</w:t>
      </w:r>
    </w:p>
    <w:p w14:paraId="0B03D0A2" w14:textId="77777777" w:rsidR="00AB6DB0" w:rsidRDefault="00AB6DB0" w:rsidP="00AB6DB0">
      <w:pPr>
        <w:spacing w:after="0" w:line="276" w:lineRule="auto"/>
        <w:contextualSpacing/>
        <w:rPr>
          <w:rFonts w:ascii="Arial" w:hAnsi="Arial" w:cs="Arial"/>
        </w:rPr>
      </w:pPr>
    </w:p>
    <w:p w14:paraId="6653102C" w14:textId="4984E9A2" w:rsidR="00AB6DB0" w:rsidRDefault="00AB6DB0" w:rsidP="00AB6DB0">
      <w:pPr>
        <w:spacing w:after="0" w:line="276" w:lineRule="auto"/>
        <w:contextualSpacing/>
        <w:rPr>
          <w:rFonts w:ascii="Arial" w:hAnsi="Arial" w:cs="Arial"/>
        </w:rPr>
      </w:pPr>
      <w:r w:rsidRPr="00AB6DB0">
        <w:rPr>
          <w:rFonts w:ascii="Arial" w:hAnsi="Arial" w:cs="Arial"/>
        </w:rPr>
        <w:t xml:space="preserve">NOTICE IS HEREBY GIVEN that the London Borough of Barnet (“the Council”) intends to demolish the following properties (“the Relevant Premises”), comprising part of the Grahame Park Estate, NW9 (“the Estate”): </w:t>
      </w:r>
    </w:p>
    <w:p w14:paraId="1CF5D5E3" w14:textId="77777777" w:rsidR="00AB6DB0" w:rsidRPr="00AB6DB0" w:rsidRDefault="00AB6DB0" w:rsidP="00AB6DB0">
      <w:pPr>
        <w:spacing w:after="0" w:line="276" w:lineRule="auto"/>
        <w:contextualSpacing/>
        <w:rPr>
          <w:rFonts w:ascii="Arial" w:hAnsi="Arial" w:cs="Arial"/>
        </w:rPr>
      </w:pPr>
    </w:p>
    <w:p w14:paraId="2442F669" w14:textId="13694283" w:rsidR="00AB6DB0" w:rsidRDefault="00AB6DB0" w:rsidP="00AB6DB0">
      <w:pPr>
        <w:pStyle w:val="ListParagraph"/>
        <w:numPr>
          <w:ilvl w:val="0"/>
          <w:numId w:val="1"/>
        </w:numPr>
        <w:spacing w:after="0" w:line="276" w:lineRule="auto"/>
        <w:rPr>
          <w:rFonts w:ascii="Arial" w:hAnsi="Arial" w:cs="Arial"/>
        </w:rPr>
      </w:pPr>
      <w:r>
        <w:rPr>
          <w:rFonts w:ascii="Arial" w:hAnsi="Arial" w:cs="Arial"/>
        </w:rPr>
        <w:t>1-22 Slatter</w:t>
      </w:r>
    </w:p>
    <w:p w14:paraId="76D8EF24" w14:textId="198A15B9" w:rsidR="007A280C" w:rsidRDefault="007A280C" w:rsidP="00AB6DB0">
      <w:pPr>
        <w:pStyle w:val="ListParagraph"/>
        <w:numPr>
          <w:ilvl w:val="0"/>
          <w:numId w:val="1"/>
        </w:numPr>
        <w:spacing w:after="0" w:line="276" w:lineRule="auto"/>
        <w:rPr>
          <w:rFonts w:ascii="Arial" w:hAnsi="Arial" w:cs="Arial"/>
        </w:rPr>
      </w:pPr>
      <w:r>
        <w:rPr>
          <w:rFonts w:ascii="Arial" w:hAnsi="Arial" w:cs="Arial"/>
        </w:rPr>
        <w:t>1-6 Spooner</w:t>
      </w:r>
    </w:p>
    <w:p w14:paraId="1CE77E97" w14:textId="25861792" w:rsidR="00AB6DB0" w:rsidRDefault="00AB6DB0" w:rsidP="00AB6DB0">
      <w:pPr>
        <w:pStyle w:val="ListParagraph"/>
        <w:numPr>
          <w:ilvl w:val="0"/>
          <w:numId w:val="1"/>
        </w:numPr>
        <w:spacing w:after="0" w:line="276" w:lineRule="auto"/>
        <w:rPr>
          <w:rFonts w:ascii="Arial" w:hAnsi="Arial" w:cs="Arial"/>
        </w:rPr>
      </w:pPr>
      <w:r>
        <w:rPr>
          <w:rFonts w:ascii="Arial" w:hAnsi="Arial" w:cs="Arial"/>
        </w:rPr>
        <w:t>1-16 Sopwith</w:t>
      </w:r>
    </w:p>
    <w:p w14:paraId="7709CB78" w14:textId="4AA97184" w:rsidR="00AB6DB0" w:rsidRDefault="00AB6DB0" w:rsidP="00AB6DB0">
      <w:pPr>
        <w:pStyle w:val="ListParagraph"/>
        <w:numPr>
          <w:ilvl w:val="0"/>
          <w:numId w:val="1"/>
        </w:numPr>
        <w:spacing w:after="0" w:line="276" w:lineRule="auto"/>
        <w:rPr>
          <w:rFonts w:ascii="Arial" w:hAnsi="Arial" w:cs="Arial"/>
        </w:rPr>
      </w:pPr>
      <w:r>
        <w:rPr>
          <w:rFonts w:ascii="Arial" w:hAnsi="Arial" w:cs="Arial"/>
        </w:rPr>
        <w:t xml:space="preserve">1-12 </w:t>
      </w:r>
      <w:r w:rsidR="008421AA">
        <w:rPr>
          <w:rFonts w:ascii="Arial" w:hAnsi="Arial" w:cs="Arial"/>
        </w:rPr>
        <w:t>Spitfire</w:t>
      </w:r>
    </w:p>
    <w:p w14:paraId="58CC13EE" w14:textId="6E453DD0" w:rsidR="00AB6DB0" w:rsidRDefault="007A280C" w:rsidP="00AB6DB0">
      <w:pPr>
        <w:pStyle w:val="ListParagraph"/>
        <w:numPr>
          <w:ilvl w:val="0"/>
          <w:numId w:val="1"/>
        </w:numPr>
        <w:spacing w:after="0" w:line="276" w:lineRule="auto"/>
        <w:rPr>
          <w:rFonts w:ascii="Arial" w:hAnsi="Arial" w:cs="Arial"/>
        </w:rPr>
      </w:pPr>
      <w:r>
        <w:rPr>
          <w:rFonts w:ascii="Arial" w:hAnsi="Arial" w:cs="Arial"/>
        </w:rPr>
        <w:t>1-2</w:t>
      </w:r>
      <w:r w:rsidR="007D193F">
        <w:rPr>
          <w:rFonts w:ascii="Arial" w:hAnsi="Arial" w:cs="Arial"/>
        </w:rPr>
        <w:t>2</w:t>
      </w:r>
      <w:r>
        <w:rPr>
          <w:rFonts w:ascii="Arial" w:hAnsi="Arial" w:cs="Arial"/>
        </w:rPr>
        <w:t xml:space="preserve"> Tait</w:t>
      </w:r>
    </w:p>
    <w:p w14:paraId="1AC16F86" w14:textId="2575D439" w:rsidR="007A280C" w:rsidRDefault="007A280C" w:rsidP="00AB6DB0">
      <w:pPr>
        <w:pStyle w:val="ListParagraph"/>
        <w:numPr>
          <w:ilvl w:val="0"/>
          <w:numId w:val="1"/>
        </w:numPr>
        <w:spacing w:after="0" w:line="276" w:lineRule="auto"/>
        <w:rPr>
          <w:rFonts w:ascii="Arial" w:hAnsi="Arial" w:cs="Arial"/>
        </w:rPr>
      </w:pPr>
      <w:r>
        <w:rPr>
          <w:rFonts w:ascii="Arial" w:hAnsi="Arial" w:cs="Arial"/>
        </w:rPr>
        <w:t>1-24 Tedder</w:t>
      </w:r>
    </w:p>
    <w:p w14:paraId="2CF28C25" w14:textId="22FBCA60" w:rsidR="007A280C" w:rsidRDefault="007A280C" w:rsidP="00AB6DB0">
      <w:pPr>
        <w:pStyle w:val="ListParagraph"/>
        <w:numPr>
          <w:ilvl w:val="0"/>
          <w:numId w:val="1"/>
        </w:numPr>
        <w:spacing w:after="0" w:line="276" w:lineRule="auto"/>
        <w:rPr>
          <w:rFonts w:ascii="Arial" w:hAnsi="Arial" w:cs="Arial"/>
        </w:rPr>
      </w:pPr>
      <w:proofErr w:type="gramStart"/>
      <w:r>
        <w:rPr>
          <w:rFonts w:ascii="Arial" w:hAnsi="Arial" w:cs="Arial"/>
        </w:rPr>
        <w:t>1-24 Wheeler</w:t>
      </w:r>
      <w:proofErr w:type="gramEnd"/>
    </w:p>
    <w:p w14:paraId="0DF444BF" w14:textId="786943F0" w:rsidR="007A280C" w:rsidRDefault="007A280C" w:rsidP="00AB6DB0">
      <w:pPr>
        <w:pStyle w:val="ListParagraph"/>
        <w:numPr>
          <w:ilvl w:val="0"/>
          <w:numId w:val="1"/>
        </w:numPr>
        <w:spacing w:after="0" w:line="276" w:lineRule="auto"/>
        <w:rPr>
          <w:rFonts w:ascii="Arial" w:hAnsi="Arial" w:cs="Arial"/>
        </w:rPr>
      </w:pPr>
      <w:r>
        <w:rPr>
          <w:rFonts w:ascii="Arial" w:hAnsi="Arial" w:cs="Arial"/>
        </w:rPr>
        <w:t>1-12 Whittaker</w:t>
      </w:r>
    </w:p>
    <w:p w14:paraId="7F727B13" w14:textId="24B58CBB" w:rsidR="007A280C" w:rsidRDefault="007A280C" w:rsidP="00AB6DB0">
      <w:pPr>
        <w:pStyle w:val="ListParagraph"/>
        <w:numPr>
          <w:ilvl w:val="0"/>
          <w:numId w:val="1"/>
        </w:numPr>
        <w:spacing w:after="0" w:line="276" w:lineRule="auto"/>
        <w:rPr>
          <w:rFonts w:ascii="Arial" w:hAnsi="Arial" w:cs="Arial"/>
        </w:rPr>
      </w:pPr>
      <w:r>
        <w:rPr>
          <w:rFonts w:ascii="Arial" w:hAnsi="Arial" w:cs="Arial"/>
        </w:rPr>
        <w:t>1-12 Whittle</w:t>
      </w:r>
    </w:p>
    <w:p w14:paraId="57246233" w14:textId="4945859D" w:rsidR="007A280C" w:rsidRDefault="007A280C" w:rsidP="00AB6DB0">
      <w:pPr>
        <w:pStyle w:val="ListParagraph"/>
        <w:numPr>
          <w:ilvl w:val="0"/>
          <w:numId w:val="1"/>
        </w:numPr>
        <w:spacing w:after="0" w:line="276" w:lineRule="auto"/>
        <w:rPr>
          <w:rFonts w:ascii="Arial" w:hAnsi="Arial" w:cs="Arial"/>
        </w:rPr>
      </w:pPr>
      <w:r>
        <w:rPr>
          <w:rFonts w:ascii="Arial" w:hAnsi="Arial" w:cs="Arial"/>
        </w:rPr>
        <w:t>1-6 Wilshire</w:t>
      </w:r>
    </w:p>
    <w:p w14:paraId="73493199" w14:textId="77777777" w:rsidR="007A280C" w:rsidRPr="00AB6DB0" w:rsidRDefault="007A280C" w:rsidP="007A280C">
      <w:pPr>
        <w:pStyle w:val="ListParagraph"/>
        <w:spacing w:after="0" w:line="276" w:lineRule="auto"/>
        <w:rPr>
          <w:rFonts w:ascii="Arial" w:hAnsi="Arial" w:cs="Arial"/>
        </w:rPr>
      </w:pPr>
    </w:p>
    <w:p w14:paraId="77F02A10" w14:textId="77777777" w:rsidR="00AB6DB0" w:rsidRPr="00AB6DB0" w:rsidRDefault="00AB6DB0" w:rsidP="00AB6DB0">
      <w:pPr>
        <w:spacing w:after="0" w:line="276" w:lineRule="auto"/>
        <w:contextualSpacing/>
        <w:rPr>
          <w:rFonts w:ascii="Arial" w:hAnsi="Arial" w:cs="Arial"/>
          <w:u w:val="single"/>
        </w:rPr>
      </w:pPr>
      <w:r w:rsidRPr="00AB6DB0">
        <w:rPr>
          <w:rFonts w:ascii="Arial" w:hAnsi="Arial" w:cs="Arial"/>
          <w:u w:val="single"/>
        </w:rPr>
        <w:t xml:space="preserve">Reason for Demolition </w:t>
      </w:r>
    </w:p>
    <w:p w14:paraId="6EF0697A" w14:textId="77777777" w:rsidR="007A280C" w:rsidRDefault="007A280C" w:rsidP="00AB6DB0">
      <w:pPr>
        <w:spacing w:after="0" w:line="276" w:lineRule="auto"/>
        <w:contextualSpacing/>
        <w:rPr>
          <w:rFonts w:ascii="Arial" w:hAnsi="Arial" w:cs="Arial"/>
        </w:rPr>
      </w:pPr>
    </w:p>
    <w:p w14:paraId="538AA564" w14:textId="3DB54A4E" w:rsidR="00AB6DB0" w:rsidRDefault="00AB6DB0" w:rsidP="00AB6DB0">
      <w:pPr>
        <w:spacing w:after="0" w:line="276" w:lineRule="auto"/>
        <w:contextualSpacing/>
        <w:rPr>
          <w:rFonts w:ascii="Arial" w:hAnsi="Arial" w:cs="Arial"/>
        </w:rPr>
      </w:pPr>
      <w:r w:rsidRPr="00AB6DB0">
        <w:rPr>
          <w:rFonts w:ascii="Arial" w:hAnsi="Arial" w:cs="Arial"/>
        </w:rPr>
        <w:t xml:space="preserve">The demolition of the Relevant Premises is necessary </w:t>
      </w:r>
      <w:proofErr w:type="gramStart"/>
      <w:r w:rsidRPr="00AB6DB0">
        <w:rPr>
          <w:rFonts w:ascii="Arial" w:hAnsi="Arial" w:cs="Arial"/>
        </w:rPr>
        <w:t>in order to</w:t>
      </w:r>
      <w:proofErr w:type="gramEnd"/>
      <w:r w:rsidRPr="00AB6DB0">
        <w:rPr>
          <w:rFonts w:ascii="Arial" w:hAnsi="Arial" w:cs="Arial"/>
        </w:rPr>
        <w:t xml:space="preserve"> enable the completion of </w:t>
      </w:r>
      <w:r w:rsidR="007A280C">
        <w:rPr>
          <w:rFonts w:ascii="Arial" w:hAnsi="Arial" w:cs="Arial"/>
        </w:rPr>
        <w:t xml:space="preserve">Phase 1 of the Grahame Park </w:t>
      </w:r>
      <w:proofErr w:type="gramStart"/>
      <w:r w:rsidR="007A280C">
        <w:rPr>
          <w:rFonts w:ascii="Arial" w:hAnsi="Arial" w:cs="Arial"/>
        </w:rPr>
        <w:t>North East</w:t>
      </w:r>
      <w:proofErr w:type="gramEnd"/>
      <w:r w:rsidR="007A280C">
        <w:rPr>
          <w:rFonts w:ascii="Arial" w:hAnsi="Arial" w:cs="Arial"/>
        </w:rPr>
        <w:t xml:space="preserve"> regeneration scheme</w:t>
      </w:r>
      <w:r w:rsidRPr="00AB6DB0">
        <w:rPr>
          <w:rFonts w:ascii="Arial" w:hAnsi="Arial" w:cs="Arial"/>
        </w:rPr>
        <w:t xml:space="preserve"> to provide new affordable and private homes, together with the provision of community facilities. </w:t>
      </w:r>
    </w:p>
    <w:p w14:paraId="6A88B58B" w14:textId="77777777" w:rsidR="007A280C" w:rsidRPr="00AB6DB0" w:rsidRDefault="007A280C" w:rsidP="00AB6DB0">
      <w:pPr>
        <w:spacing w:after="0" w:line="276" w:lineRule="auto"/>
        <w:contextualSpacing/>
        <w:rPr>
          <w:rFonts w:ascii="Arial" w:hAnsi="Arial" w:cs="Arial"/>
        </w:rPr>
      </w:pPr>
    </w:p>
    <w:p w14:paraId="08F7D7A8" w14:textId="77777777" w:rsidR="00AB6DB0" w:rsidRPr="00AB6DB0" w:rsidRDefault="00AB6DB0" w:rsidP="00AB6DB0">
      <w:pPr>
        <w:spacing w:after="0" w:line="276" w:lineRule="auto"/>
        <w:contextualSpacing/>
        <w:rPr>
          <w:rFonts w:ascii="Arial" w:hAnsi="Arial" w:cs="Arial"/>
          <w:u w:val="single"/>
        </w:rPr>
      </w:pPr>
      <w:r w:rsidRPr="00AB6DB0">
        <w:rPr>
          <w:rFonts w:ascii="Arial" w:hAnsi="Arial" w:cs="Arial"/>
          <w:u w:val="single"/>
        </w:rPr>
        <w:t xml:space="preserve">Demolition Period </w:t>
      </w:r>
    </w:p>
    <w:p w14:paraId="0522D14C" w14:textId="77777777" w:rsidR="007A280C" w:rsidRDefault="007A280C" w:rsidP="00AB6DB0">
      <w:pPr>
        <w:spacing w:after="0" w:line="276" w:lineRule="auto"/>
        <w:contextualSpacing/>
        <w:rPr>
          <w:rFonts w:ascii="Arial" w:hAnsi="Arial" w:cs="Arial"/>
        </w:rPr>
      </w:pPr>
    </w:p>
    <w:p w14:paraId="2718F1D8" w14:textId="58A440B3" w:rsidR="00AB6DB0" w:rsidRPr="00AB6DB0" w:rsidRDefault="00AB6DB0" w:rsidP="00AB6DB0">
      <w:pPr>
        <w:spacing w:after="0" w:line="276" w:lineRule="auto"/>
        <w:contextualSpacing/>
        <w:rPr>
          <w:rFonts w:ascii="Arial" w:hAnsi="Arial" w:cs="Arial"/>
        </w:rPr>
      </w:pPr>
      <w:r w:rsidRPr="00AB6DB0">
        <w:rPr>
          <w:rFonts w:ascii="Arial" w:hAnsi="Arial" w:cs="Arial"/>
        </w:rPr>
        <w:t xml:space="preserve">The Council intends to demolish the Relevant Properties by </w:t>
      </w:r>
      <w:r w:rsidR="00FC2312">
        <w:rPr>
          <w:rFonts w:ascii="Arial" w:hAnsi="Arial" w:cs="Arial"/>
        </w:rPr>
        <w:t>10</w:t>
      </w:r>
      <w:r w:rsidR="00FC2312" w:rsidRPr="00FC2312">
        <w:rPr>
          <w:rFonts w:ascii="Arial" w:hAnsi="Arial" w:cs="Arial"/>
          <w:vertAlign w:val="superscript"/>
        </w:rPr>
        <w:t>th</w:t>
      </w:r>
      <w:r w:rsidR="00FC2312">
        <w:rPr>
          <w:rFonts w:ascii="Arial" w:hAnsi="Arial" w:cs="Arial"/>
        </w:rPr>
        <w:t xml:space="preserve"> July </w:t>
      </w:r>
      <w:r w:rsidR="007A280C" w:rsidRPr="00FC2312">
        <w:rPr>
          <w:rFonts w:ascii="Arial" w:hAnsi="Arial" w:cs="Arial"/>
        </w:rPr>
        <w:t>2032</w:t>
      </w:r>
      <w:r w:rsidR="007A280C">
        <w:rPr>
          <w:rFonts w:ascii="Arial" w:hAnsi="Arial" w:cs="Arial"/>
        </w:rPr>
        <w:t xml:space="preserve"> </w:t>
      </w:r>
      <w:r w:rsidRPr="00AB6DB0">
        <w:rPr>
          <w:rFonts w:ascii="Arial" w:hAnsi="Arial" w:cs="Arial"/>
        </w:rPr>
        <w:t xml:space="preserve">that date being not later than 7 years from the date Notice is first served on tenants. </w:t>
      </w:r>
    </w:p>
    <w:p w14:paraId="63A1543B" w14:textId="77777777" w:rsidR="007A280C" w:rsidRDefault="007A280C" w:rsidP="00AB6DB0">
      <w:pPr>
        <w:spacing w:after="0" w:line="276" w:lineRule="auto"/>
        <w:contextualSpacing/>
        <w:rPr>
          <w:rFonts w:ascii="Arial" w:hAnsi="Arial" w:cs="Arial"/>
        </w:rPr>
      </w:pPr>
    </w:p>
    <w:p w14:paraId="0302AC96" w14:textId="576DE3A6" w:rsidR="00AB6DB0" w:rsidRPr="00AB6DB0" w:rsidRDefault="00AB6DB0" w:rsidP="00AB6DB0">
      <w:pPr>
        <w:spacing w:after="0" w:line="276" w:lineRule="auto"/>
        <w:contextualSpacing/>
        <w:rPr>
          <w:rFonts w:ascii="Arial" w:hAnsi="Arial" w:cs="Arial"/>
        </w:rPr>
      </w:pPr>
      <w:r w:rsidRPr="00AB6DB0">
        <w:rPr>
          <w:rFonts w:ascii="Arial" w:hAnsi="Arial" w:cs="Arial"/>
        </w:rPr>
        <w:t xml:space="preserve">This Notice will remain in force up to and including </w:t>
      </w:r>
      <w:r w:rsidR="00FC2312">
        <w:rPr>
          <w:rFonts w:ascii="Arial" w:hAnsi="Arial" w:cs="Arial"/>
        </w:rPr>
        <w:t>10</w:t>
      </w:r>
      <w:r w:rsidR="00FC2312" w:rsidRPr="00FC2312">
        <w:rPr>
          <w:rFonts w:ascii="Arial" w:hAnsi="Arial" w:cs="Arial"/>
          <w:vertAlign w:val="superscript"/>
        </w:rPr>
        <w:t>th</w:t>
      </w:r>
      <w:r w:rsidR="00FC2312">
        <w:rPr>
          <w:rFonts w:ascii="Arial" w:hAnsi="Arial" w:cs="Arial"/>
        </w:rPr>
        <w:t xml:space="preserve"> July </w:t>
      </w:r>
      <w:r w:rsidR="00FC2312" w:rsidRPr="00FC2312">
        <w:rPr>
          <w:rFonts w:ascii="Arial" w:hAnsi="Arial" w:cs="Arial"/>
        </w:rPr>
        <w:t>2032</w:t>
      </w:r>
      <w:r w:rsidR="00FC2312">
        <w:rPr>
          <w:rFonts w:ascii="Arial" w:hAnsi="Arial" w:cs="Arial"/>
        </w:rPr>
        <w:t xml:space="preserve"> </w:t>
      </w:r>
      <w:r w:rsidRPr="00AB6DB0">
        <w:rPr>
          <w:rFonts w:ascii="Arial" w:hAnsi="Arial" w:cs="Arial"/>
        </w:rPr>
        <w:t xml:space="preserve">unless revoked or otherwise terminated under or by virtue of paragraph 3 of Schedule 5A of the Act. </w:t>
      </w:r>
    </w:p>
    <w:p w14:paraId="08D71109" w14:textId="77777777" w:rsidR="007A280C" w:rsidRDefault="007A280C" w:rsidP="00AB6DB0">
      <w:pPr>
        <w:spacing w:after="0" w:line="276" w:lineRule="auto"/>
        <w:contextualSpacing/>
        <w:rPr>
          <w:rFonts w:ascii="Arial" w:hAnsi="Arial" w:cs="Arial"/>
        </w:rPr>
      </w:pPr>
    </w:p>
    <w:p w14:paraId="18A3A40D" w14:textId="5D4DB2F4" w:rsidR="00AB6DB0" w:rsidRPr="007A280C" w:rsidRDefault="00AB6DB0" w:rsidP="00AB6DB0">
      <w:pPr>
        <w:spacing w:after="0" w:line="276" w:lineRule="auto"/>
        <w:contextualSpacing/>
        <w:rPr>
          <w:rFonts w:ascii="Arial" w:hAnsi="Arial" w:cs="Arial"/>
          <w:u w:val="single"/>
        </w:rPr>
      </w:pPr>
      <w:r w:rsidRPr="00AB6DB0">
        <w:rPr>
          <w:rFonts w:ascii="Arial" w:hAnsi="Arial" w:cs="Arial"/>
          <w:u w:val="single"/>
        </w:rPr>
        <w:t xml:space="preserve">Effect of this Notice </w:t>
      </w:r>
    </w:p>
    <w:p w14:paraId="2F9C3A2D" w14:textId="77777777" w:rsidR="007A280C" w:rsidRPr="00AB6DB0" w:rsidRDefault="007A280C" w:rsidP="00AB6DB0">
      <w:pPr>
        <w:spacing w:after="0" w:line="276" w:lineRule="auto"/>
        <w:contextualSpacing/>
        <w:rPr>
          <w:rFonts w:ascii="Arial" w:hAnsi="Arial" w:cs="Arial"/>
        </w:rPr>
      </w:pPr>
    </w:p>
    <w:p w14:paraId="58D94AFC" w14:textId="77777777" w:rsidR="00AB6DB0" w:rsidRPr="00AB6DB0" w:rsidRDefault="00AB6DB0" w:rsidP="00AB6DB0">
      <w:pPr>
        <w:spacing w:after="0" w:line="276" w:lineRule="auto"/>
        <w:contextualSpacing/>
        <w:rPr>
          <w:rFonts w:ascii="Arial" w:hAnsi="Arial" w:cs="Arial"/>
        </w:rPr>
      </w:pPr>
      <w:r w:rsidRPr="00AB6DB0">
        <w:rPr>
          <w:rFonts w:ascii="Arial" w:hAnsi="Arial" w:cs="Arial"/>
        </w:rPr>
        <w:t xml:space="preserve">Whilst this Notice remains in force the Council will not be under any obligation to make such grant as is mentioned in section 138(1) of the Act in respect of any claim to exercise the Right to Buy in respect of any of the Relevant Premises. </w:t>
      </w:r>
    </w:p>
    <w:p w14:paraId="303144EF" w14:textId="77777777" w:rsidR="007A280C" w:rsidRDefault="007A280C" w:rsidP="00AB6DB0">
      <w:pPr>
        <w:spacing w:after="0" w:line="276" w:lineRule="auto"/>
        <w:contextualSpacing/>
        <w:rPr>
          <w:rFonts w:ascii="Arial" w:hAnsi="Arial" w:cs="Arial"/>
        </w:rPr>
      </w:pPr>
    </w:p>
    <w:p w14:paraId="7B47F06A" w14:textId="77777777" w:rsidR="001315B2" w:rsidRDefault="001315B2" w:rsidP="00AB6DB0">
      <w:pPr>
        <w:spacing w:after="0" w:line="276" w:lineRule="auto"/>
        <w:contextualSpacing/>
        <w:rPr>
          <w:rFonts w:ascii="Arial" w:hAnsi="Arial" w:cs="Arial"/>
        </w:rPr>
      </w:pPr>
    </w:p>
    <w:p w14:paraId="33D55959" w14:textId="77777777" w:rsidR="001315B2" w:rsidRDefault="001315B2" w:rsidP="00AB6DB0">
      <w:pPr>
        <w:spacing w:after="0" w:line="276" w:lineRule="auto"/>
        <w:contextualSpacing/>
        <w:rPr>
          <w:rFonts w:ascii="Arial" w:hAnsi="Arial" w:cs="Arial"/>
        </w:rPr>
      </w:pPr>
    </w:p>
    <w:p w14:paraId="231E823C" w14:textId="23C3F8EC" w:rsidR="00AB6DB0" w:rsidRPr="00AB6DB0" w:rsidRDefault="00AB6DB0" w:rsidP="00AB6DB0">
      <w:pPr>
        <w:spacing w:after="0" w:line="276" w:lineRule="auto"/>
        <w:contextualSpacing/>
        <w:rPr>
          <w:rFonts w:ascii="Arial" w:hAnsi="Arial" w:cs="Arial"/>
        </w:rPr>
      </w:pPr>
      <w:r w:rsidRPr="00AB6DB0">
        <w:rPr>
          <w:rFonts w:ascii="Arial" w:hAnsi="Arial" w:cs="Arial"/>
        </w:rPr>
        <w:lastRenderedPageBreak/>
        <w:t xml:space="preserve">This Notice </w:t>
      </w:r>
      <w:r w:rsidRPr="00AB6DB0">
        <w:rPr>
          <w:rFonts w:ascii="Arial" w:hAnsi="Arial" w:cs="Arial"/>
          <w:u w:val="single"/>
        </w:rPr>
        <w:t>does not</w:t>
      </w:r>
      <w:r w:rsidRPr="00AB6DB0">
        <w:rPr>
          <w:rFonts w:ascii="Arial" w:hAnsi="Arial" w:cs="Arial"/>
        </w:rPr>
        <w:t xml:space="preserve"> </w:t>
      </w:r>
      <w:proofErr w:type="gramStart"/>
      <w:r w:rsidRPr="00AB6DB0">
        <w:rPr>
          <w:rFonts w:ascii="Arial" w:hAnsi="Arial" w:cs="Arial"/>
        </w:rPr>
        <w:t>prevent:-</w:t>
      </w:r>
      <w:proofErr w:type="gramEnd"/>
      <w:r w:rsidRPr="00AB6DB0">
        <w:rPr>
          <w:rFonts w:ascii="Arial" w:hAnsi="Arial" w:cs="Arial"/>
        </w:rPr>
        <w:t xml:space="preserve"> </w:t>
      </w:r>
    </w:p>
    <w:p w14:paraId="45236073" w14:textId="77777777" w:rsidR="00AB6DB0" w:rsidRPr="00AB6DB0" w:rsidRDefault="00AB6DB0" w:rsidP="00AB6DB0">
      <w:pPr>
        <w:spacing w:after="0" w:line="276" w:lineRule="auto"/>
        <w:contextualSpacing/>
        <w:rPr>
          <w:rFonts w:ascii="Arial" w:hAnsi="Arial" w:cs="Arial"/>
        </w:rPr>
      </w:pPr>
    </w:p>
    <w:p w14:paraId="7937F83C" w14:textId="4C3F72E7" w:rsidR="00AB6DB0" w:rsidRPr="007A280C" w:rsidRDefault="00AB6DB0" w:rsidP="007A280C">
      <w:pPr>
        <w:pStyle w:val="ListParagraph"/>
        <w:numPr>
          <w:ilvl w:val="0"/>
          <w:numId w:val="2"/>
        </w:numPr>
        <w:spacing w:after="0" w:line="276" w:lineRule="auto"/>
        <w:rPr>
          <w:rFonts w:ascii="Arial" w:hAnsi="Arial" w:cs="Arial"/>
        </w:rPr>
      </w:pPr>
      <w:r w:rsidRPr="007A280C">
        <w:rPr>
          <w:rFonts w:ascii="Arial" w:hAnsi="Arial" w:cs="Arial"/>
        </w:rPr>
        <w:t xml:space="preserve">tenants from making a claim to exercise the Right to Buy in respect of the Relevant </w:t>
      </w:r>
      <w:proofErr w:type="gramStart"/>
      <w:r w:rsidRPr="007A280C">
        <w:rPr>
          <w:rFonts w:ascii="Arial" w:hAnsi="Arial" w:cs="Arial"/>
        </w:rPr>
        <w:t>Premises;</w:t>
      </w:r>
      <w:proofErr w:type="gramEnd"/>
      <w:r w:rsidRPr="007A280C">
        <w:rPr>
          <w:rFonts w:ascii="Arial" w:hAnsi="Arial" w:cs="Arial"/>
        </w:rPr>
        <w:t xml:space="preserve"> </w:t>
      </w:r>
    </w:p>
    <w:p w14:paraId="733B1B8B" w14:textId="0A8A56C3" w:rsidR="00AB6DB0" w:rsidRPr="007A280C" w:rsidRDefault="00AB6DB0" w:rsidP="007A280C">
      <w:pPr>
        <w:pStyle w:val="ListParagraph"/>
        <w:numPr>
          <w:ilvl w:val="0"/>
          <w:numId w:val="2"/>
        </w:numPr>
        <w:spacing w:after="0" w:line="276" w:lineRule="auto"/>
        <w:rPr>
          <w:rFonts w:ascii="Arial" w:hAnsi="Arial" w:cs="Arial"/>
        </w:rPr>
      </w:pPr>
      <w:r w:rsidRPr="007A280C">
        <w:rPr>
          <w:rFonts w:ascii="Arial" w:hAnsi="Arial" w:cs="Arial"/>
        </w:rPr>
        <w:t xml:space="preserve">tenants from taking steps pursuant to Part V of the Act in connection with any such claim up to the point </w:t>
      </w:r>
      <w:r w:rsidR="00366A08">
        <w:rPr>
          <w:rFonts w:ascii="Arial" w:hAnsi="Arial" w:cs="Arial"/>
        </w:rPr>
        <w:t>when</w:t>
      </w:r>
      <w:r w:rsidRPr="007A280C">
        <w:rPr>
          <w:rFonts w:ascii="Arial" w:hAnsi="Arial" w:cs="Arial"/>
        </w:rPr>
        <w:t xml:space="preserve"> section 138(1) of the Act </w:t>
      </w:r>
      <w:r w:rsidR="00366A08">
        <w:rPr>
          <w:rFonts w:ascii="Arial" w:hAnsi="Arial" w:cs="Arial"/>
        </w:rPr>
        <w:t>would otherwise apply</w:t>
      </w:r>
    </w:p>
    <w:p w14:paraId="3D9C862D" w14:textId="6659AEB7" w:rsidR="00AB6DB0" w:rsidRPr="007A280C" w:rsidRDefault="00AB6DB0" w:rsidP="007A280C">
      <w:pPr>
        <w:pStyle w:val="ListParagraph"/>
        <w:numPr>
          <w:ilvl w:val="0"/>
          <w:numId w:val="2"/>
        </w:numPr>
        <w:spacing w:after="0" w:line="276" w:lineRule="auto"/>
        <w:rPr>
          <w:rFonts w:ascii="Arial" w:hAnsi="Arial" w:cs="Arial"/>
        </w:rPr>
      </w:pPr>
      <w:r w:rsidRPr="007A280C">
        <w:rPr>
          <w:rFonts w:ascii="Arial" w:hAnsi="Arial" w:cs="Arial"/>
        </w:rPr>
        <w:t xml:space="preserve">the operation of section 138(1) of the Act in most circumstances when this Notice ceases to be in force, </w:t>
      </w:r>
    </w:p>
    <w:p w14:paraId="38D44EBB" w14:textId="77777777" w:rsidR="00AB6DB0" w:rsidRPr="00AB6DB0" w:rsidRDefault="00AB6DB0" w:rsidP="00AB6DB0">
      <w:pPr>
        <w:spacing w:after="0" w:line="276" w:lineRule="auto"/>
        <w:contextualSpacing/>
        <w:rPr>
          <w:rFonts w:ascii="Arial" w:hAnsi="Arial" w:cs="Arial"/>
        </w:rPr>
      </w:pPr>
    </w:p>
    <w:p w14:paraId="43DD225E" w14:textId="77777777" w:rsidR="00AB6DB0" w:rsidRDefault="00AB6DB0" w:rsidP="007A280C">
      <w:pPr>
        <w:spacing w:after="0" w:line="276" w:lineRule="auto"/>
        <w:ind w:left="360"/>
        <w:contextualSpacing/>
        <w:rPr>
          <w:rFonts w:ascii="Arial" w:hAnsi="Arial" w:cs="Arial"/>
        </w:rPr>
      </w:pPr>
      <w:r w:rsidRPr="00AB6DB0">
        <w:rPr>
          <w:rFonts w:ascii="Arial" w:hAnsi="Arial" w:cs="Arial"/>
        </w:rPr>
        <w:t xml:space="preserve">BUT if the Council subsequently serves a Final Demolition Notice in respect of the Relevant Premises, the Right to Buy will not arise in respect of the Relevant Premises while that Notice is in force and any existing claim will cease to be effective. </w:t>
      </w:r>
    </w:p>
    <w:p w14:paraId="4DBE6FB7" w14:textId="77777777" w:rsidR="007A280C" w:rsidRPr="00AB6DB0" w:rsidRDefault="007A280C" w:rsidP="007A280C">
      <w:pPr>
        <w:spacing w:after="0" w:line="276" w:lineRule="auto"/>
        <w:ind w:left="360"/>
        <w:contextualSpacing/>
        <w:rPr>
          <w:rFonts w:ascii="Arial" w:hAnsi="Arial" w:cs="Arial"/>
        </w:rPr>
      </w:pPr>
    </w:p>
    <w:p w14:paraId="157C401A" w14:textId="77777777" w:rsidR="00AB6DB0" w:rsidRPr="00AB6DB0" w:rsidRDefault="00AB6DB0" w:rsidP="00AB6DB0">
      <w:pPr>
        <w:spacing w:after="0" w:line="276" w:lineRule="auto"/>
        <w:contextualSpacing/>
        <w:rPr>
          <w:rFonts w:ascii="Arial" w:hAnsi="Arial" w:cs="Arial"/>
          <w:u w:val="single"/>
        </w:rPr>
      </w:pPr>
      <w:r w:rsidRPr="00AB6DB0">
        <w:rPr>
          <w:rFonts w:ascii="Arial" w:hAnsi="Arial" w:cs="Arial"/>
          <w:u w:val="single"/>
        </w:rPr>
        <w:t xml:space="preserve">Right to Compensation </w:t>
      </w:r>
    </w:p>
    <w:p w14:paraId="5AB3D1A7" w14:textId="68F8150B" w:rsidR="00AB6DB0" w:rsidRPr="007A280C" w:rsidRDefault="00AB6DB0" w:rsidP="007A280C">
      <w:pPr>
        <w:pStyle w:val="ListParagraph"/>
        <w:numPr>
          <w:ilvl w:val="0"/>
          <w:numId w:val="3"/>
        </w:numPr>
        <w:spacing w:after="0" w:line="276" w:lineRule="auto"/>
        <w:rPr>
          <w:rFonts w:ascii="Arial" w:hAnsi="Arial" w:cs="Arial"/>
        </w:rPr>
      </w:pPr>
      <w:r w:rsidRPr="007A280C">
        <w:rPr>
          <w:rFonts w:ascii="Arial" w:hAnsi="Arial" w:cs="Arial"/>
        </w:rPr>
        <w:t xml:space="preserve">If, at the time when this Notice is served, you have an existing claim to exercise the Right to Buy in respect of a property you may have a right to compensation* under section 138C of the </w:t>
      </w:r>
      <w:proofErr w:type="gramStart"/>
      <w:r w:rsidRPr="007A280C">
        <w:rPr>
          <w:rFonts w:ascii="Arial" w:hAnsi="Arial" w:cs="Arial"/>
        </w:rPr>
        <w:t>Act;</w:t>
      </w:r>
      <w:proofErr w:type="gramEnd"/>
      <w:r w:rsidRPr="007A280C">
        <w:rPr>
          <w:rFonts w:ascii="Arial" w:hAnsi="Arial" w:cs="Arial"/>
        </w:rPr>
        <w:t xml:space="preserve"> </w:t>
      </w:r>
    </w:p>
    <w:p w14:paraId="3F7ED3F4" w14:textId="54D0B530" w:rsidR="00AB6DB0" w:rsidRPr="007A280C" w:rsidRDefault="00AB6DB0" w:rsidP="007A280C">
      <w:pPr>
        <w:pStyle w:val="ListParagraph"/>
        <w:numPr>
          <w:ilvl w:val="0"/>
          <w:numId w:val="3"/>
        </w:numPr>
        <w:spacing w:after="0" w:line="276" w:lineRule="auto"/>
        <w:rPr>
          <w:rFonts w:ascii="Arial" w:hAnsi="Arial" w:cs="Arial"/>
        </w:rPr>
      </w:pPr>
      <w:r w:rsidRPr="007A280C">
        <w:rPr>
          <w:rFonts w:ascii="Arial" w:hAnsi="Arial" w:cs="Arial"/>
        </w:rPr>
        <w:t xml:space="preserve">Written notice of any claim for compensation must be served on the Council within three months beginning from the Operative Date* of this </w:t>
      </w:r>
      <w:proofErr w:type="gramStart"/>
      <w:r w:rsidRPr="007A280C">
        <w:rPr>
          <w:rFonts w:ascii="Arial" w:hAnsi="Arial" w:cs="Arial"/>
        </w:rPr>
        <w:t>Notice;</w:t>
      </w:r>
      <w:proofErr w:type="gramEnd"/>
      <w:r w:rsidRPr="007A280C">
        <w:rPr>
          <w:rFonts w:ascii="Arial" w:hAnsi="Arial" w:cs="Arial"/>
        </w:rPr>
        <w:t xml:space="preserve"> </w:t>
      </w:r>
    </w:p>
    <w:p w14:paraId="7F95FAC6" w14:textId="247D8616" w:rsidR="00AB6DB0" w:rsidRPr="007A280C" w:rsidRDefault="00AB6DB0" w:rsidP="007A280C">
      <w:pPr>
        <w:pStyle w:val="ListParagraph"/>
        <w:numPr>
          <w:ilvl w:val="0"/>
          <w:numId w:val="3"/>
        </w:numPr>
        <w:spacing w:after="0" w:line="276" w:lineRule="auto"/>
        <w:rPr>
          <w:rFonts w:ascii="Arial" w:hAnsi="Arial" w:cs="Arial"/>
        </w:rPr>
      </w:pPr>
      <w:r w:rsidRPr="007A280C">
        <w:rPr>
          <w:rFonts w:ascii="Arial" w:hAnsi="Arial" w:cs="Arial"/>
        </w:rPr>
        <w:t xml:space="preserve">A claim for compensation must state the amount claimed and must be accompanied by receipts or other documents showing that the expenditure in question was incurred. </w:t>
      </w:r>
    </w:p>
    <w:p w14:paraId="37C2748B" w14:textId="77777777" w:rsidR="00AB6DB0" w:rsidRPr="00AB6DB0" w:rsidRDefault="00AB6DB0" w:rsidP="00AB6DB0">
      <w:pPr>
        <w:spacing w:after="0" w:line="276" w:lineRule="auto"/>
        <w:contextualSpacing/>
        <w:rPr>
          <w:rFonts w:ascii="Arial" w:hAnsi="Arial" w:cs="Arial"/>
        </w:rPr>
      </w:pPr>
    </w:p>
    <w:p w14:paraId="39FDC0A7" w14:textId="77777777" w:rsidR="00AB6DB0" w:rsidRPr="00AB6DB0" w:rsidRDefault="00AB6DB0" w:rsidP="00AB6DB0">
      <w:pPr>
        <w:spacing w:after="0" w:line="276" w:lineRule="auto"/>
        <w:contextualSpacing/>
        <w:rPr>
          <w:rFonts w:ascii="Arial" w:hAnsi="Arial" w:cs="Arial"/>
        </w:rPr>
      </w:pPr>
      <w:r w:rsidRPr="00AB6DB0">
        <w:rPr>
          <w:rFonts w:ascii="Arial" w:hAnsi="Arial" w:cs="Arial"/>
        </w:rPr>
        <w:t xml:space="preserve">*Compensation is in respect of expenditure reasonably incurred by a tenant before the Operative Date in respect of legal and other fees, and other professional costs and expenses, payable in connection with the exercise of that Right to Buy claim. </w:t>
      </w:r>
    </w:p>
    <w:p w14:paraId="4258ED44" w14:textId="77777777" w:rsidR="007A280C" w:rsidRDefault="007A280C" w:rsidP="00AB6DB0">
      <w:pPr>
        <w:spacing w:after="0" w:line="276" w:lineRule="auto"/>
        <w:contextualSpacing/>
        <w:rPr>
          <w:rFonts w:ascii="Arial" w:hAnsi="Arial" w:cs="Arial"/>
        </w:rPr>
      </w:pPr>
    </w:p>
    <w:p w14:paraId="56D49D6F" w14:textId="3A07D061" w:rsidR="00AB6DB0" w:rsidRPr="00AB6DB0" w:rsidRDefault="00AB6DB0" w:rsidP="00AB6DB0">
      <w:pPr>
        <w:spacing w:after="0" w:line="276" w:lineRule="auto"/>
        <w:contextualSpacing/>
        <w:rPr>
          <w:rFonts w:ascii="Arial" w:hAnsi="Arial" w:cs="Arial"/>
        </w:rPr>
      </w:pPr>
      <w:r w:rsidRPr="00AB6DB0">
        <w:rPr>
          <w:rFonts w:ascii="Arial" w:hAnsi="Arial" w:cs="Arial"/>
        </w:rPr>
        <w:t>*The Operative Date of this Notice is</w:t>
      </w:r>
      <w:r w:rsidR="00AC2FC8">
        <w:rPr>
          <w:rFonts w:ascii="Arial" w:hAnsi="Arial" w:cs="Arial"/>
        </w:rPr>
        <w:t xml:space="preserve"> </w:t>
      </w:r>
      <w:r w:rsidR="002F61F4">
        <w:rPr>
          <w:rFonts w:ascii="Arial" w:hAnsi="Arial" w:cs="Arial"/>
        </w:rPr>
        <w:t>10th</w:t>
      </w:r>
      <w:r w:rsidR="00AC2FC8">
        <w:rPr>
          <w:rFonts w:ascii="Arial" w:hAnsi="Arial" w:cs="Arial"/>
        </w:rPr>
        <w:t xml:space="preserve"> </w:t>
      </w:r>
      <w:r w:rsidR="00AC2FC8" w:rsidRPr="000A68CB">
        <w:rPr>
          <w:rFonts w:ascii="Arial" w:hAnsi="Arial" w:cs="Arial"/>
        </w:rPr>
        <w:t>July 2025</w:t>
      </w:r>
      <w:r w:rsidRPr="00AB6DB0">
        <w:rPr>
          <w:rFonts w:ascii="Arial" w:hAnsi="Arial" w:cs="Arial"/>
        </w:rPr>
        <w:t xml:space="preserve"> that being the date a copy of this Notice was served on the tenants of the Relevant Premises. </w:t>
      </w:r>
    </w:p>
    <w:p w14:paraId="686969F3" w14:textId="77777777" w:rsidR="007A280C" w:rsidRDefault="007A280C" w:rsidP="00AB6DB0">
      <w:pPr>
        <w:spacing w:after="0" w:line="276" w:lineRule="auto"/>
        <w:contextualSpacing/>
        <w:rPr>
          <w:rFonts w:ascii="Arial" w:hAnsi="Arial" w:cs="Arial"/>
        </w:rPr>
      </w:pPr>
    </w:p>
    <w:p w14:paraId="35A89234" w14:textId="59C6D12A" w:rsidR="00AB6DB0" w:rsidRPr="00AB6DB0" w:rsidRDefault="00AB6DB0" w:rsidP="00AB6DB0">
      <w:pPr>
        <w:spacing w:after="0" w:line="276" w:lineRule="auto"/>
        <w:contextualSpacing/>
        <w:rPr>
          <w:rFonts w:ascii="Arial" w:hAnsi="Arial" w:cs="Arial"/>
        </w:rPr>
      </w:pPr>
      <w:r w:rsidRPr="00AB6DB0">
        <w:rPr>
          <w:rFonts w:ascii="Arial" w:hAnsi="Arial" w:cs="Arial"/>
        </w:rPr>
        <w:t xml:space="preserve">Dated this </w:t>
      </w:r>
      <w:r w:rsidR="002F61F4">
        <w:rPr>
          <w:rFonts w:ascii="Arial" w:hAnsi="Arial" w:cs="Arial"/>
        </w:rPr>
        <w:t>10th</w:t>
      </w:r>
      <w:r w:rsidR="00AC2FC8">
        <w:rPr>
          <w:rFonts w:ascii="Arial" w:hAnsi="Arial" w:cs="Arial"/>
        </w:rPr>
        <w:t xml:space="preserve"> </w:t>
      </w:r>
      <w:r w:rsidR="00AC2FC8" w:rsidRPr="000A68CB">
        <w:rPr>
          <w:rFonts w:ascii="Arial" w:hAnsi="Arial" w:cs="Arial"/>
        </w:rPr>
        <w:t>July</w:t>
      </w:r>
      <w:r w:rsidR="007A280C" w:rsidRPr="000A68CB">
        <w:rPr>
          <w:rFonts w:ascii="Arial" w:hAnsi="Arial" w:cs="Arial"/>
        </w:rPr>
        <w:t xml:space="preserve"> 2025</w:t>
      </w:r>
      <w:r w:rsidRPr="00AB6DB0">
        <w:rPr>
          <w:rFonts w:ascii="Arial" w:hAnsi="Arial" w:cs="Arial"/>
        </w:rPr>
        <w:t xml:space="preserve"> </w:t>
      </w:r>
    </w:p>
    <w:p w14:paraId="29AA0634" w14:textId="77777777" w:rsidR="007A280C" w:rsidRDefault="007A280C" w:rsidP="00AB6DB0">
      <w:pPr>
        <w:spacing w:after="0" w:line="276" w:lineRule="auto"/>
        <w:contextualSpacing/>
        <w:rPr>
          <w:rFonts w:ascii="Arial" w:hAnsi="Arial" w:cs="Arial"/>
        </w:rPr>
      </w:pPr>
    </w:p>
    <w:p w14:paraId="33F69AC5" w14:textId="77777777" w:rsidR="007A280C" w:rsidRDefault="007A280C" w:rsidP="00AB6DB0">
      <w:pPr>
        <w:spacing w:after="0" w:line="276" w:lineRule="auto"/>
        <w:contextualSpacing/>
        <w:rPr>
          <w:rFonts w:ascii="Arial" w:hAnsi="Arial" w:cs="Arial"/>
        </w:rPr>
      </w:pPr>
    </w:p>
    <w:p w14:paraId="1EFD976E" w14:textId="2F1FB50E" w:rsidR="00AB6DB0" w:rsidRPr="00AB6DB0" w:rsidRDefault="00AB6DB0" w:rsidP="00AB6DB0">
      <w:pPr>
        <w:spacing w:after="0" w:line="276" w:lineRule="auto"/>
        <w:contextualSpacing/>
        <w:rPr>
          <w:rFonts w:ascii="Arial" w:hAnsi="Arial" w:cs="Arial"/>
        </w:rPr>
      </w:pPr>
      <w:r w:rsidRPr="00AB6DB0">
        <w:rPr>
          <w:rFonts w:ascii="Arial" w:hAnsi="Arial" w:cs="Arial"/>
        </w:rPr>
        <w:t xml:space="preserve">Signed: </w:t>
      </w:r>
      <w:r w:rsidR="000A68CB">
        <w:rPr>
          <w:noProof/>
        </w:rPr>
        <w:drawing>
          <wp:inline distT="0" distB="0" distL="0" distR="0" wp14:anchorId="117EBF49" wp14:editId="76D4BCF5">
            <wp:extent cx="2202180" cy="807720"/>
            <wp:effectExtent l="0" t="0" r="7620" b="0"/>
            <wp:docPr id="1540363253"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63253" name="Picture 1" descr="A close-up of a signature&#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31110" t="40949" r="30468" b="44959"/>
                    <a:stretch/>
                  </pic:blipFill>
                  <pic:spPr bwMode="auto">
                    <a:xfrm>
                      <a:off x="0" y="0"/>
                      <a:ext cx="2202180" cy="807720"/>
                    </a:xfrm>
                    <a:prstGeom prst="rect">
                      <a:avLst/>
                    </a:prstGeom>
                    <a:noFill/>
                    <a:ln>
                      <a:noFill/>
                    </a:ln>
                    <a:extLst>
                      <a:ext uri="{53640926-AAD7-44D8-BBD7-CCE9431645EC}">
                        <a14:shadowObscured xmlns:a14="http://schemas.microsoft.com/office/drawing/2010/main"/>
                      </a:ext>
                    </a:extLst>
                  </pic:spPr>
                </pic:pic>
              </a:graphicData>
            </a:graphic>
          </wp:inline>
        </w:drawing>
      </w:r>
    </w:p>
    <w:p w14:paraId="02DDF7A2" w14:textId="77777777" w:rsidR="007A280C" w:rsidRDefault="007A280C" w:rsidP="00AB6DB0">
      <w:pPr>
        <w:spacing w:after="0" w:line="276" w:lineRule="auto"/>
        <w:contextualSpacing/>
        <w:rPr>
          <w:rFonts w:ascii="Arial" w:hAnsi="Arial" w:cs="Arial"/>
          <w:b/>
          <w:bCs/>
        </w:rPr>
      </w:pPr>
    </w:p>
    <w:p w14:paraId="01A715D4" w14:textId="141372FD" w:rsidR="00AB6DB0" w:rsidRPr="00AB6DB0" w:rsidRDefault="007A280C" w:rsidP="00AB6DB0">
      <w:pPr>
        <w:spacing w:after="0" w:line="276" w:lineRule="auto"/>
        <w:contextualSpacing/>
        <w:rPr>
          <w:rFonts w:ascii="Arial" w:hAnsi="Arial" w:cs="Arial"/>
        </w:rPr>
      </w:pPr>
      <w:r>
        <w:rPr>
          <w:rFonts w:ascii="Arial" w:hAnsi="Arial" w:cs="Arial"/>
          <w:b/>
          <w:bCs/>
        </w:rPr>
        <w:t>Naisha Polaine</w:t>
      </w:r>
    </w:p>
    <w:p w14:paraId="01FD28B5" w14:textId="7CB51D6D" w:rsidR="00AB6DB0" w:rsidRPr="00AB6DB0" w:rsidRDefault="007A280C" w:rsidP="00AB6DB0">
      <w:pPr>
        <w:spacing w:after="0" w:line="276" w:lineRule="auto"/>
        <w:contextualSpacing/>
        <w:rPr>
          <w:rFonts w:ascii="Arial" w:hAnsi="Arial" w:cs="Arial"/>
        </w:rPr>
      </w:pPr>
      <w:r>
        <w:rPr>
          <w:rFonts w:ascii="Arial" w:hAnsi="Arial" w:cs="Arial"/>
          <w:b/>
          <w:bCs/>
        </w:rPr>
        <w:t>Executive Director of Growth</w:t>
      </w:r>
    </w:p>
    <w:p w14:paraId="5092FC21" w14:textId="680F4E31" w:rsidR="00AB6DB0" w:rsidRPr="00AB6DB0" w:rsidRDefault="00AB6DB0" w:rsidP="00AB6DB0">
      <w:pPr>
        <w:spacing w:after="0" w:line="276" w:lineRule="auto"/>
        <w:contextualSpacing/>
        <w:rPr>
          <w:rFonts w:ascii="Arial" w:hAnsi="Arial" w:cs="Arial"/>
        </w:rPr>
      </w:pPr>
      <w:r w:rsidRPr="00AB6DB0">
        <w:rPr>
          <w:rFonts w:ascii="Arial" w:hAnsi="Arial" w:cs="Arial"/>
        </w:rPr>
        <w:t>For and on behalf of Barnet Council</w:t>
      </w:r>
    </w:p>
    <w:sectPr w:rsidR="00AB6DB0" w:rsidRPr="00AB6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73EDE"/>
    <w:multiLevelType w:val="hybridMultilevel"/>
    <w:tmpl w:val="F352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072AF"/>
    <w:multiLevelType w:val="hybridMultilevel"/>
    <w:tmpl w:val="DF18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62F81"/>
    <w:multiLevelType w:val="hybridMultilevel"/>
    <w:tmpl w:val="26ACDABC"/>
    <w:lvl w:ilvl="0" w:tplc="1D104412">
      <w:start w:val="1"/>
      <w:numFmt w:val="lowerRoman"/>
      <w:lvlText w:val="%1)"/>
      <w:lvlJc w:val="righ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741094">
    <w:abstractNumId w:val="1"/>
  </w:num>
  <w:num w:numId="2" w16cid:durableId="211969713">
    <w:abstractNumId w:val="2"/>
  </w:num>
  <w:num w:numId="3" w16cid:durableId="90494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B0"/>
    <w:rsid w:val="00053466"/>
    <w:rsid w:val="000A68CB"/>
    <w:rsid w:val="001315B2"/>
    <w:rsid w:val="00292D93"/>
    <w:rsid w:val="002F61F4"/>
    <w:rsid w:val="00366A08"/>
    <w:rsid w:val="003C33B4"/>
    <w:rsid w:val="006E199A"/>
    <w:rsid w:val="007A280C"/>
    <w:rsid w:val="007D193F"/>
    <w:rsid w:val="008421AA"/>
    <w:rsid w:val="00880B6A"/>
    <w:rsid w:val="008F5D5D"/>
    <w:rsid w:val="00901714"/>
    <w:rsid w:val="00AB6DB0"/>
    <w:rsid w:val="00AC2FC8"/>
    <w:rsid w:val="00B44050"/>
    <w:rsid w:val="00E83D8E"/>
    <w:rsid w:val="00F77EBD"/>
    <w:rsid w:val="00FC2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DC73"/>
  <w15:chartTrackingRefBased/>
  <w15:docId w15:val="{A205A2D1-B4B2-4E9C-9E8C-11A1AD53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DB0"/>
    <w:rPr>
      <w:rFonts w:eastAsiaTheme="majorEastAsia" w:cstheme="majorBidi"/>
      <w:color w:val="272727" w:themeColor="text1" w:themeTint="D8"/>
    </w:rPr>
  </w:style>
  <w:style w:type="paragraph" w:styleId="Title">
    <w:name w:val="Title"/>
    <w:basedOn w:val="Normal"/>
    <w:next w:val="Normal"/>
    <w:link w:val="TitleChar"/>
    <w:uiPriority w:val="10"/>
    <w:qFormat/>
    <w:rsid w:val="00AB6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DB0"/>
    <w:pPr>
      <w:spacing w:before="160"/>
      <w:jc w:val="center"/>
    </w:pPr>
    <w:rPr>
      <w:i/>
      <w:iCs/>
      <w:color w:val="404040" w:themeColor="text1" w:themeTint="BF"/>
    </w:rPr>
  </w:style>
  <w:style w:type="character" w:customStyle="1" w:styleId="QuoteChar">
    <w:name w:val="Quote Char"/>
    <w:basedOn w:val="DefaultParagraphFont"/>
    <w:link w:val="Quote"/>
    <w:uiPriority w:val="29"/>
    <w:rsid w:val="00AB6DB0"/>
    <w:rPr>
      <w:i/>
      <w:iCs/>
      <w:color w:val="404040" w:themeColor="text1" w:themeTint="BF"/>
    </w:rPr>
  </w:style>
  <w:style w:type="paragraph" w:styleId="ListParagraph">
    <w:name w:val="List Paragraph"/>
    <w:basedOn w:val="Normal"/>
    <w:uiPriority w:val="34"/>
    <w:qFormat/>
    <w:rsid w:val="00AB6DB0"/>
    <w:pPr>
      <w:ind w:left="720"/>
      <w:contextualSpacing/>
    </w:pPr>
  </w:style>
  <w:style w:type="character" w:styleId="IntenseEmphasis">
    <w:name w:val="Intense Emphasis"/>
    <w:basedOn w:val="DefaultParagraphFont"/>
    <w:uiPriority w:val="21"/>
    <w:qFormat/>
    <w:rsid w:val="00AB6DB0"/>
    <w:rPr>
      <w:i/>
      <w:iCs/>
      <w:color w:val="0F4761" w:themeColor="accent1" w:themeShade="BF"/>
    </w:rPr>
  </w:style>
  <w:style w:type="paragraph" w:styleId="IntenseQuote">
    <w:name w:val="Intense Quote"/>
    <w:basedOn w:val="Normal"/>
    <w:next w:val="Normal"/>
    <w:link w:val="IntenseQuoteChar"/>
    <w:uiPriority w:val="30"/>
    <w:qFormat/>
    <w:rsid w:val="00AB6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DB0"/>
    <w:rPr>
      <w:i/>
      <w:iCs/>
      <w:color w:val="0F4761" w:themeColor="accent1" w:themeShade="BF"/>
    </w:rPr>
  </w:style>
  <w:style w:type="character" w:styleId="IntenseReference">
    <w:name w:val="Intense Reference"/>
    <w:basedOn w:val="DefaultParagraphFont"/>
    <w:uiPriority w:val="32"/>
    <w:qFormat/>
    <w:rsid w:val="00AB6DB0"/>
    <w:rPr>
      <w:b/>
      <w:bCs/>
      <w:smallCaps/>
      <w:color w:val="0F4761" w:themeColor="accent1" w:themeShade="BF"/>
      <w:spacing w:val="5"/>
    </w:rPr>
  </w:style>
  <w:style w:type="paragraph" w:styleId="Revision">
    <w:name w:val="Revision"/>
    <w:hidden/>
    <w:uiPriority w:val="99"/>
    <w:semiHidden/>
    <w:rsid w:val="00366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CEA1-7152-457A-BCD3-39225FBB461D}">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Toit, Susan (TBG)</dc:creator>
  <cp:keywords/>
  <dc:description/>
  <cp:lastModifiedBy>Metcalf, Tom (TBG)</cp:lastModifiedBy>
  <cp:revision>2</cp:revision>
  <dcterms:created xsi:type="dcterms:W3CDTF">2025-07-04T11:34:00Z</dcterms:created>
  <dcterms:modified xsi:type="dcterms:W3CDTF">2025-07-04T11:34:00Z</dcterms:modified>
</cp:coreProperties>
</file>